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80" w:lineRule="auto" w:line="190"/>
        <w:outlineLvl w:val="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8"/>
          <w:sz w:val="28"/>
          <w:szCs w:val="28"/>
        </w:rPr>
        <w:t>附件</w:t>
      </w:r>
      <w:r>
        <w:rPr>
          <w:rFonts w:ascii="仿宋" w:cs="仿宋" w:eastAsia="仿宋" w:hAnsi="仿宋" w:hint="eastAsia"/>
          <w:spacing w:val="-8"/>
          <w:sz w:val="28"/>
          <w:szCs w:val="28"/>
          <w:lang w:eastAsia="zh-CN"/>
        </w:rPr>
        <w:t>二</w:t>
      </w:r>
      <w:r>
        <w:rPr>
          <w:rFonts w:ascii="仿宋" w:cs="仿宋" w:eastAsia="仿宋" w:hAnsi="仿宋"/>
          <w:spacing w:val="-8"/>
          <w:sz w:val="28"/>
          <w:szCs w:val="28"/>
        </w:rPr>
        <w:t>：</w:t>
      </w:r>
    </w:p>
    <w:p>
      <w:pPr>
        <w:pStyle w:val="style0"/>
        <w:spacing w:lineRule="auto" w:line="395"/>
        <w:rPr>
          <w:rFonts w:ascii="宋体"/>
          <w:sz w:val="21"/>
        </w:rPr>
      </w:pPr>
    </w:p>
    <w:p>
      <w:pPr>
        <w:pStyle w:val="style0"/>
        <w:spacing w:before="98" w:lineRule="auto" w:line="492"/>
        <w:ind w:left="3120" w:leftChars="1021" w:right="1365" w:hanging="976" w:hangingChars="330"/>
        <w:rPr>
          <w:rFonts w:ascii="仿宋" w:cs="仿宋" w:eastAsia="仿宋" w:hAnsi="仿宋"/>
          <w:spacing w:val="12"/>
          <w:sz w:val="30"/>
          <w:szCs w:val="30"/>
        </w:rPr>
      </w:pPr>
      <w:r>
        <w:rPr>
          <w:rFonts w:ascii="仿宋" w:cs="仿宋" w:eastAsia="仿宋" w:hAnsi="仿宋"/>
          <w:spacing w:val="-2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2"/>
          <w:sz w:val="30"/>
          <w:szCs w:val="30"/>
          <w:lang w:eastAsia="zh-CN"/>
        </w:rPr>
        <w:t>建筑业企业</w:t>
      </w:r>
      <w:r>
        <w:rPr>
          <w:rFonts w:ascii="仿宋" w:cs="仿宋" w:eastAsia="仿宋" w:hAnsi="仿宋"/>
          <w:spacing w:val="-2"/>
          <w:sz w:val="30"/>
          <w:szCs w:val="30"/>
        </w:rPr>
        <w:t>信用评级指标</w:t>
      </w:r>
      <w:r>
        <w:rPr>
          <w:rFonts w:ascii="仿宋" w:cs="仿宋" w:eastAsia="仿宋" w:hAnsi="仿宋"/>
          <w:spacing w:val="12"/>
          <w:sz w:val="30"/>
          <w:szCs w:val="30"/>
        </w:rPr>
        <w:t xml:space="preserve"> </w:t>
      </w:r>
    </w:p>
    <w:p>
      <w:pPr>
        <w:pStyle w:val="style0"/>
        <w:spacing w:before="98" w:lineRule="auto" w:line="492"/>
        <w:ind w:left="3116" w:leftChars="1447" w:right="1365" w:hanging="77" w:hangingChars="27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6"/>
          <w:sz w:val="30"/>
          <w:szCs w:val="30"/>
        </w:rPr>
        <w:t>等级划分细则</w:t>
      </w:r>
    </w:p>
    <w:p>
      <w:pPr>
        <w:pStyle w:val="style0"/>
        <w:spacing w:before="276" w:lineRule="auto" w:line="189"/>
        <w:ind w:firstLine="513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3"/>
          <w:sz w:val="24"/>
          <w:szCs w:val="24"/>
        </w:rPr>
        <w:t>一、评价准入条件</w:t>
      </w:r>
    </w:p>
    <w:p>
      <w:pPr>
        <w:pStyle w:val="style0"/>
        <w:spacing w:before="234" w:lineRule="auto" w:line="189"/>
        <w:ind w:firstLine="513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1"/>
          <w:sz w:val="24"/>
          <w:szCs w:val="24"/>
        </w:rPr>
        <w:t>存在以下情况的</w:t>
      </w:r>
      <w:r>
        <w:rPr>
          <w:rFonts w:ascii="仿宋" w:cs="仿宋" w:eastAsia="仿宋" w:hAnsi="仿宋" w:hint="eastAsia"/>
          <w:spacing w:val="-1"/>
          <w:sz w:val="24"/>
          <w:szCs w:val="24"/>
          <w:lang w:eastAsia="zh-CN"/>
        </w:rPr>
        <w:t>建筑业</w:t>
      </w:r>
      <w:r>
        <w:rPr>
          <w:rFonts w:ascii="仿宋" w:cs="仿宋" w:eastAsia="仿宋" w:hAnsi="仿宋"/>
          <w:spacing w:val="-1"/>
          <w:sz w:val="24"/>
          <w:szCs w:val="24"/>
        </w:rPr>
        <w:t>企业，不具备信用评价条件：</w:t>
      </w:r>
    </w:p>
    <w:p>
      <w:pPr>
        <w:pStyle w:val="style0"/>
        <w:spacing w:before="234" w:lineRule="auto" w:line="189"/>
        <w:ind w:firstLine="520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5"/>
          <w:sz w:val="24"/>
          <w:szCs w:val="24"/>
        </w:rPr>
        <w:t>1、正式开展经营不满</w:t>
      </w:r>
      <w:r>
        <w:rPr>
          <w:rFonts w:ascii="仿宋" w:cs="仿宋" w:eastAsia="仿宋" w:hAnsi="仿宋" w:hint="eastAsia"/>
          <w:spacing w:val="-5"/>
          <w:sz w:val="24"/>
          <w:szCs w:val="24"/>
          <w:lang w:val="en-US" w:eastAsia="zh-CN"/>
        </w:rPr>
        <w:t>12个月</w:t>
      </w:r>
      <w:r>
        <w:rPr>
          <w:rFonts w:ascii="仿宋" w:cs="仿宋" w:eastAsia="仿宋" w:hAnsi="仿宋"/>
          <w:spacing w:val="-5"/>
          <w:sz w:val="24"/>
          <w:szCs w:val="24"/>
        </w:rPr>
        <w:t>的；</w:t>
      </w:r>
    </w:p>
    <w:p>
      <w:pPr>
        <w:pStyle w:val="style0"/>
        <w:spacing w:before="234" w:lineRule="auto" w:line="189"/>
        <w:ind w:firstLine="50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1"/>
          <w:sz w:val="24"/>
          <w:szCs w:val="24"/>
        </w:rPr>
        <w:t>2、未建立基本的财务核算制度，不能提供财务报表的；</w:t>
      </w:r>
    </w:p>
    <w:p>
      <w:pPr>
        <w:pStyle w:val="style0"/>
        <w:spacing w:before="234" w:lineRule="auto" w:line="189"/>
        <w:ind w:firstLine="507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z w:val="24"/>
          <w:szCs w:val="24"/>
        </w:rPr>
        <w:t>3、三无企业（无营业执照、无经营场所及无营业收入</w:t>
      </w:r>
      <w:r>
        <w:rPr>
          <w:rFonts w:ascii="仿宋" w:cs="仿宋" w:eastAsia="仿宋" w:hAnsi="仿宋"/>
          <w:spacing w:val="-66"/>
          <w:sz w:val="24"/>
          <w:szCs w:val="24"/>
        </w:rPr>
        <w:t>）</w:t>
      </w:r>
      <w:r>
        <w:rPr>
          <w:rFonts w:ascii="仿宋" w:cs="仿宋" w:eastAsia="仿宋" w:hAnsi="仿宋"/>
          <w:spacing w:val="-2"/>
          <w:sz w:val="24"/>
          <w:szCs w:val="24"/>
        </w:rPr>
        <w:t xml:space="preserve"> </w:t>
      </w:r>
      <w:r>
        <w:rPr>
          <w:rFonts w:ascii="仿宋" w:cs="仿宋" w:eastAsia="仿宋" w:hAnsi="仿宋"/>
          <w:spacing w:val="-66"/>
          <w:sz w:val="24"/>
          <w:szCs w:val="24"/>
        </w:rPr>
        <w:t>；</w:t>
      </w:r>
    </w:p>
    <w:p>
      <w:pPr>
        <w:pStyle w:val="style0"/>
        <w:spacing w:before="236" w:lineRule="auto" w:line="369"/>
        <w:ind w:left="44" w:right="64" w:firstLine="457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z w:val="24"/>
          <w:szCs w:val="24"/>
        </w:rPr>
        <w:t>4、正处于改制、分立、转让等时期，或产业结构调整阶段，未来经营将发</w:t>
      </w:r>
      <w:r>
        <w:rPr>
          <w:rFonts w:ascii="仿宋" w:cs="仿宋" w:eastAsia="仿宋" w:hAnsi="仿宋"/>
          <w:spacing w:val="16"/>
          <w:sz w:val="24"/>
          <w:szCs w:val="24"/>
        </w:rPr>
        <w:t xml:space="preserve"> </w:t>
      </w:r>
      <w:r>
        <w:rPr>
          <w:rFonts w:ascii="仿宋" w:cs="仿宋" w:eastAsia="仿宋" w:hAnsi="仿宋"/>
          <w:spacing w:val="-5"/>
          <w:sz w:val="24"/>
          <w:szCs w:val="24"/>
        </w:rPr>
        <w:t>生重大变化的。</w:t>
      </w:r>
    </w:p>
    <w:p>
      <w:pPr>
        <w:pStyle w:val="style0"/>
        <w:spacing w:before="167" w:lineRule="auto" w:line="189"/>
        <w:ind w:firstLine="517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2"/>
          <w:sz w:val="24"/>
          <w:szCs w:val="24"/>
        </w:rPr>
        <w:t>二、企业信用等级评价计分标准与释义</w:t>
      </w:r>
    </w:p>
    <w:p>
      <w:pPr>
        <w:pStyle w:val="style0"/>
        <w:spacing w:lineRule="auto" w:line="264"/>
        <w:rPr>
          <w:rFonts w:ascii="宋体"/>
          <w:sz w:val="21"/>
        </w:rPr>
      </w:pPr>
    </w:p>
    <w:p>
      <w:pPr>
        <w:pStyle w:val="style0"/>
        <w:spacing w:before="78" w:lineRule="auto" w:line="189"/>
        <w:ind w:firstLine="514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3"/>
          <w:sz w:val="24"/>
          <w:szCs w:val="24"/>
        </w:rPr>
        <w:t>襄阳市</w:t>
      </w:r>
      <w:r>
        <w:rPr>
          <w:rFonts w:ascii="仿宋" w:cs="仿宋" w:eastAsia="仿宋" w:hAnsi="仿宋" w:hint="eastAsia"/>
          <w:spacing w:val="-3"/>
          <w:sz w:val="24"/>
          <w:szCs w:val="24"/>
          <w:lang w:eastAsia="zh-CN"/>
        </w:rPr>
        <w:t>建筑业企业</w:t>
      </w:r>
      <w:r>
        <w:rPr>
          <w:rFonts w:ascii="仿宋" w:cs="仿宋" w:eastAsia="仿宋" w:hAnsi="仿宋"/>
          <w:spacing w:val="-3"/>
          <w:sz w:val="24"/>
          <w:szCs w:val="24"/>
        </w:rPr>
        <w:t>信用评价等级划分细则表按国际惯例设等级：</w:t>
      </w:r>
    </w:p>
    <w:p>
      <w:pPr>
        <w:pStyle w:val="style0"/>
        <w:spacing w:lineRule="exact" w:line="31"/>
        <w:rPr/>
      </w:pPr>
    </w:p>
    <w:tbl>
      <w:tblPr>
        <w:tblStyle w:val="style4098"/>
        <w:tblW w:w="7801" w:type="dxa"/>
        <w:tblInd w:w="5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407"/>
        <w:gridCol w:w="4697"/>
        <w:gridCol w:w="984"/>
      </w:tblGrid>
      <w:tr>
        <w:trPr>
          <w:trHeight w:val="569" w:hRule="atLeast"/>
        </w:trPr>
        <w:tc>
          <w:tcPr>
            <w:tcW w:w="713" w:type="dxa"/>
            <w:tcBorders/>
          </w:tcPr>
          <w:p>
            <w:pPr>
              <w:pStyle w:val="style0"/>
              <w:spacing w:before="298" w:lineRule="auto" w:line="189"/>
              <w:ind w:firstLine="19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10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1407" w:type="dxa"/>
            <w:tcBorders/>
          </w:tcPr>
          <w:p>
            <w:pPr>
              <w:pStyle w:val="style0"/>
              <w:spacing w:before="298" w:lineRule="auto" w:line="189"/>
              <w:ind w:firstLine="351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3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计分标准</w:t>
            </w:r>
          </w:p>
        </w:tc>
        <w:tc>
          <w:tcPr>
            <w:tcW w:w="4697" w:type="dxa"/>
            <w:tcBorders/>
          </w:tcPr>
          <w:p>
            <w:pPr>
              <w:pStyle w:val="style0"/>
              <w:spacing w:before="298" w:lineRule="auto" w:line="189"/>
              <w:ind w:firstLine="1908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6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释</w:t>
            </w:r>
            <w:r>
              <w:rPr>
                <w:rFonts w:ascii="仿宋" w:cs="仿宋" w:eastAsia="仿宋" w:hAnsi="仿宋"/>
                <w:spacing w:val="2"/>
                <w:sz w:val="18"/>
                <w:szCs w:val="18"/>
              </w:rPr>
              <w:t xml:space="preserve">      </w:t>
            </w:r>
            <w:r>
              <w:rPr>
                <w:rFonts w:ascii="仿宋" w:cs="仿宋" w:eastAsia="仿宋" w:hAnsi="仿宋"/>
                <w:spacing w:val="-6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义</w:t>
            </w:r>
          </w:p>
        </w:tc>
        <w:tc>
          <w:tcPr>
            <w:tcW w:w="984" w:type="dxa"/>
            <w:tcBorders/>
          </w:tcPr>
          <w:p>
            <w:pPr>
              <w:pStyle w:val="style0"/>
              <w:spacing w:before="298" w:lineRule="auto" w:line="189"/>
              <w:ind w:firstLine="324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8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类别</w:t>
            </w:r>
          </w:p>
        </w:tc>
      </w:tr>
      <w:tr>
        <w:tblPrEx/>
        <w:trPr>
          <w:trHeight w:val="1203" w:hRule="atLeast"/>
        </w:trPr>
        <w:tc>
          <w:tcPr>
            <w:tcW w:w="713" w:type="dxa"/>
            <w:tcBorders/>
          </w:tcPr>
          <w:p>
            <w:pPr>
              <w:pStyle w:val="style0"/>
              <w:spacing w:lineRule="auto" w:line="25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8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8" w:lineRule="auto" w:line="180"/>
              <w:ind w:firstLine="218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AAA</w:t>
            </w:r>
          </w:p>
        </w:tc>
        <w:tc>
          <w:tcPr>
            <w:tcW w:w="1407" w:type="dxa"/>
            <w:tcBorders/>
          </w:tcPr>
          <w:p>
            <w:pPr>
              <w:pStyle w:val="style0"/>
              <w:spacing w:lineRule="auto" w:line="244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4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9" w:lineRule="auto" w:line="189"/>
              <w:ind w:firstLine="121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1"/>
                <w:sz w:val="18"/>
                <w:szCs w:val="18"/>
              </w:rPr>
              <w:t>80≤分数≤100</w:t>
            </w:r>
          </w:p>
        </w:tc>
        <w:tc>
          <w:tcPr>
            <w:tcW w:w="4697" w:type="dxa"/>
            <w:tcBorders/>
          </w:tcPr>
          <w:p>
            <w:pPr>
              <w:pStyle w:val="style0"/>
              <w:spacing w:before="93" w:lineRule="auto" w:line="278"/>
              <w:ind w:left="115" w:right="10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企业外部经营环境很好，经营处于良性循环状态，具有显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著的竞争优势和良好的成长性，主要财务指标处于行业内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领先水平，综合偿债能力强，信用记录良好，各种不确定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1"/>
                <w:sz w:val="18"/>
                <w:szCs w:val="18"/>
              </w:rPr>
              <w:t>因素对经营与发展的影响最小。</w:t>
            </w:r>
          </w:p>
        </w:tc>
        <w:tc>
          <w:tcPr>
            <w:tcW w:w="984" w:type="dxa"/>
            <w:tcBorders/>
          </w:tcPr>
          <w:p>
            <w:pPr>
              <w:pStyle w:val="style0"/>
              <w:spacing w:lineRule="auto" w:line="427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9" w:lineRule="auto" w:line="189"/>
              <w:ind w:firstLine="236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6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重点类</w:t>
            </w:r>
          </w:p>
        </w:tc>
      </w:tr>
      <w:tr>
        <w:tblPrEx/>
        <w:trPr>
          <w:trHeight w:val="1204" w:hRule="atLeast"/>
        </w:trPr>
        <w:tc>
          <w:tcPr>
            <w:tcW w:w="713" w:type="dxa"/>
            <w:tcBorders/>
          </w:tcPr>
          <w:p>
            <w:pPr>
              <w:pStyle w:val="style0"/>
              <w:spacing w:lineRule="auto" w:line="25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8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9" w:lineRule="auto" w:line="180"/>
              <w:ind w:firstLine="263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AA</w:t>
            </w:r>
          </w:p>
        </w:tc>
        <w:tc>
          <w:tcPr>
            <w:tcW w:w="1407" w:type="dxa"/>
            <w:tcBorders/>
          </w:tcPr>
          <w:p>
            <w:pPr>
              <w:pStyle w:val="style0"/>
              <w:spacing w:lineRule="auto" w:line="24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5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8" w:lineRule="auto" w:line="189"/>
              <w:ind w:firstLine="170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70≤分数＜80</w:t>
            </w:r>
          </w:p>
        </w:tc>
        <w:tc>
          <w:tcPr>
            <w:tcW w:w="4697" w:type="dxa"/>
            <w:tcBorders/>
          </w:tcPr>
          <w:p>
            <w:pPr>
              <w:pStyle w:val="style0"/>
              <w:spacing w:before="95" w:lineRule="auto" w:line="278"/>
              <w:ind w:left="118" w:right="102" w:hanging="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企业外部经营环境良好，经营处于良性循环状态，具有明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显的竞争优势和较好的成长性，主要财务指标处于行业内</w:t>
            </w:r>
            <w:r>
              <w:rPr>
                <w:rFonts w:ascii="仿宋" w:cs="仿宋" w:eastAsia="仿宋" w:hAnsi="仿宋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良好水平，综合偿债能力较强，信用记录良好，各种不确</w:t>
            </w:r>
            <w:r>
              <w:rPr>
                <w:rFonts w:ascii="仿宋" w:cs="仿宋" w:eastAsia="仿宋" w:hAnsi="仿宋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定因素对经营与发展的影响很小。</w:t>
            </w:r>
          </w:p>
        </w:tc>
        <w:tc>
          <w:tcPr>
            <w:tcW w:w="984" w:type="dxa"/>
            <w:tcBorders/>
          </w:tcPr>
          <w:p>
            <w:pPr>
              <w:pStyle w:val="style0"/>
              <w:spacing w:lineRule="auto" w:line="24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5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8" w:lineRule="auto" w:line="189"/>
              <w:ind w:firstLine="230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4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支持类</w:t>
            </w:r>
          </w:p>
        </w:tc>
      </w:tr>
      <w:tr>
        <w:tblPrEx/>
        <w:trPr>
          <w:trHeight w:val="1208" w:hRule="atLeast"/>
        </w:trPr>
        <w:tc>
          <w:tcPr>
            <w:tcW w:w="713" w:type="dxa"/>
            <w:tcBorders/>
          </w:tcPr>
          <w:p>
            <w:pPr>
              <w:pStyle w:val="style0"/>
              <w:spacing w:lineRule="auto" w:line="259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60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8" w:lineRule="auto" w:line="180"/>
              <w:ind w:firstLine="309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</w:tc>
        <w:tc>
          <w:tcPr>
            <w:tcW w:w="1407" w:type="dxa"/>
            <w:tcBorders/>
          </w:tcPr>
          <w:p>
            <w:pPr>
              <w:pStyle w:val="style0"/>
              <w:spacing w:lineRule="auto" w:line="246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6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9" w:lineRule="auto" w:line="189"/>
              <w:ind w:firstLine="11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1"/>
                <w:sz w:val="18"/>
                <w:szCs w:val="18"/>
              </w:rPr>
              <w:t>60≤分数＜70</w:t>
            </w:r>
          </w:p>
        </w:tc>
        <w:tc>
          <w:tcPr>
            <w:tcW w:w="4697" w:type="dxa"/>
            <w:tcBorders/>
          </w:tcPr>
          <w:p>
            <w:pPr>
              <w:pStyle w:val="style0"/>
              <w:spacing w:before="98" w:lineRule="auto" w:line="278"/>
              <w:ind w:left="115" w:right="10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企业外部经营环境较好，经营处于良性循环状态，具有一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定的竞争优势和成长性，主要财务指标处于行业内较好水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18"/>
                <w:szCs w:val="18"/>
              </w:rPr>
              <w:t>平，综合偿债能力尚好，信用记录良好，各种不确定因素</w:t>
            </w:r>
            <w:r>
              <w:rPr>
                <w:rFonts w:ascii="仿宋" w:cs="仿宋" w:eastAsia="仿宋" w:hAnsi="仿宋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仿宋" w:cs="仿宋" w:eastAsia="仿宋" w:hAnsi="仿宋"/>
                <w:spacing w:val="-1"/>
                <w:sz w:val="18"/>
                <w:szCs w:val="18"/>
              </w:rPr>
              <w:t>对经营与发展的影响较小。</w:t>
            </w:r>
          </w:p>
        </w:tc>
        <w:tc>
          <w:tcPr>
            <w:tcW w:w="984" w:type="dxa"/>
            <w:tcBorders/>
          </w:tcPr>
          <w:p>
            <w:pPr>
              <w:pStyle w:val="style0"/>
              <w:spacing w:lineRule="auto" w:line="246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6"/>
              <w:rPr>
                <w:rFonts w:ascii="宋体"/>
                <w:sz w:val="21"/>
              </w:rPr>
            </w:pPr>
          </w:p>
          <w:p>
            <w:pPr>
              <w:pStyle w:val="style0"/>
              <w:spacing w:before="59" w:lineRule="auto" w:line="189"/>
              <w:ind w:firstLine="232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/>
                <w:spacing w:val="-4"/>
                <w:sz w:val="18"/>
                <w:szCs w:val="18"/>
                <w14:textOutline w14:w="3268" w14:cmpd="sng" w14:cap="sq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推荐类</w:t>
            </w:r>
          </w:p>
        </w:tc>
      </w:tr>
    </w:tbl>
    <w:p>
      <w:pPr>
        <w:pStyle w:val="style0"/>
        <w:spacing w:lineRule="auto" w:line="255"/>
        <w:rPr>
          <w:rFonts w:ascii="宋体"/>
          <w:sz w:val="21"/>
        </w:rPr>
      </w:pPr>
    </w:p>
    <w:p>
      <w:pPr>
        <w:pStyle w:val="style0"/>
        <w:spacing w:lineRule="auto" w:line="256"/>
        <w:rPr>
          <w:rFonts w:ascii="宋体"/>
          <w:sz w:val="21"/>
        </w:rPr>
      </w:pPr>
    </w:p>
    <w:p>
      <w:pPr>
        <w:pStyle w:val="style0"/>
        <w:spacing w:before="79" w:lineRule="auto" w:line="369"/>
        <w:ind w:left="33" w:right="62" w:firstLine="717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4"/>
          <w:sz w:val="24"/>
          <w:szCs w:val="24"/>
        </w:rPr>
        <w:t>根据其信用级别，列为三类，供监管部门和行业协会分类监管和确定支持</w:t>
      </w:r>
      <w:r>
        <w:rPr>
          <w:rFonts w:ascii="仿宋" w:cs="仿宋" w:eastAsia="仿宋" w:hAnsi="仿宋"/>
          <w:spacing w:val="-7"/>
          <w:sz w:val="24"/>
          <w:szCs w:val="24"/>
        </w:rPr>
        <w:t>力度。</w:t>
      </w:r>
    </w:p>
    <w:p>
      <w:pPr>
        <w:pStyle w:val="style0"/>
        <w:rPr/>
        <w:sectPr>
          <w:footerReference w:type="default" r:id="rId2"/>
          <w:pgSz w:w="11906" w:h="16839" w:orient="portrait"/>
          <w:pgMar w:top="1431" w:right="1737" w:bottom="1363" w:left="1785" w:header="0" w:footer="1225" w:gutter="0"/>
          <w:cols w:space="720" w:num="1"/>
        </w:sect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37"/>
      <w:ind w:firstLine="4072"/>
      <w:rPr>
        <w:rFonts w:ascii="Calibri" w:cs="Calibri" w:eastAsia="Calibri" w:hAnsi="Calibri"/>
        <w:sz w:val="21"/>
        <w:szCs w:val="21"/>
      </w:rPr>
    </w:pPr>
    <w:r>
      <w:rPr>
        <w:rFonts w:ascii="Calibri" w:cs="Calibri" w:eastAsia="Calibri" w:hAnsi="Calibri"/>
        <w:spacing w:val="-7"/>
        <w:position w:val="-3"/>
        <w:sz w:val="21"/>
        <w:szCs w:val="21"/>
      </w:rPr>
      <w:t>26</w:t>
    </w: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545</Words>
  <Pages>1</Pages>
  <Characters>562</Characters>
  <Application>WPS Office</Application>
  <DocSecurity>0</DocSecurity>
  <Paragraphs>60</Paragraphs>
  <ScaleCrop>false</ScaleCrop>
  <LinksUpToDate>false</LinksUpToDate>
  <CharactersWithSpaces>580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2021-11-03T09:48:25Z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